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pBdr/>
        <w:bidi w:val="0"/>
        <w:ind w:hanging="0" w:start="0" w:end="0"/>
        <w:jc w:val="start"/>
        <w:rPr/>
      </w:pPr>
      <w:r>
        <w:rPr/>
        <w:t>W miejscowym planie zagospodarowania przestrzennego </w:t>
      </w:r>
      <w:r>
        <w:rPr>
          <w:rStyle w:val="Strong"/>
        </w:rPr>
        <w:t>(MPZP) działka oznaczona jest symbolem 11 Mn, Ut</w:t>
      </w:r>
      <w:r>
        <w:rPr/>
        <w:t> i przeznaczone pod zabudowę </w:t>
      </w:r>
      <w:r>
        <w:rPr>
          <w:rStyle w:val="Strong"/>
        </w:rPr>
        <w:t>mieszkaniową jednorodzinną oraz usługi turystyki</w:t>
      </w:r>
      <w:r>
        <w:rPr/>
        <w:t>. To doskonała inwestycja zarówno dla osób planujących budowę wymarzonego domu, jak i dla zainteresowanych rozwojem działalności turystycznej. </w:t>
      </w:r>
    </w:p>
    <w:p>
      <w:pPr>
        <w:pStyle w:val="Heading2"/>
        <w:pBdr/>
        <w:bidi w:val="0"/>
        <w:ind w:hanging="0" w:start="0" w:end="0"/>
        <w:jc w:val="start"/>
        <w:rPr/>
      </w:pPr>
      <w:r>
        <w:rPr>
          <w:rStyle w:val="Strong"/>
          <w:b/>
          <w:bCs/>
        </w:rPr>
        <w:t>Zagospodarowanie terenu i kształtowanie zabudowy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wysokość zabudowy – do 2 kondygnacji nadziemnych (w tym poddasze użytkowe),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geometria dachów – dwu – lub wielospadowe,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nachylenie połaci dachowych – 30 stopni  – 50 stopni,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powierzchnia zabudowy – maks 20% powierzchni działki,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ind w:hanging="283" w:start="0" w:end="0"/>
        <w:jc w:val="start"/>
        <w:rPr/>
      </w:pPr>
      <w:r>
        <w:rPr/>
        <w:t>powierzchnia biologicznie czynna – min. 60% powierzchni działki.</w:t>
      </w:r>
    </w:p>
    <w:p>
      <w:pPr>
        <w:pStyle w:val="Heading2"/>
        <w:pBdr/>
        <w:bidi w:val="0"/>
        <w:ind w:hanging="0" w:start="0" w:end="0"/>
        <w:jc w:val="start"/>
        <w:rPr/>
      </w:pPr>
      <w:r>
        <w:rPr/>
        <w:br/>
      </w:r>
      <w:r>
        <w:rPr>
          <w:rStyle w:val="Strong"/>
          <w:b/>
          <w:bCs/>
        </w:rPr>
        <w:t>Ustalenia z zakresie infrastruktury technicznej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w zasilanie w energię elektryczną: 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z sieci elektroenergetycznej,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w zakresie zaopatrzenia w wodę ustala się: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do czasu realizacji sieci dopuszcza się zaopatrzenie w wodę z ujęć własnych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w zakresie kanalizacji sanitarnej ustala się: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do czasu realizacji kanalizacji sanitarnej dopuszcza się odprowadzenie ścieków do zbiorników bezodpływowych,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dopuszcza się stosowanie indywidualnych systemów typu przydomowa oczyszczalnia ścieków lub pompowania ścieków;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ind w:hanging="283" w:start="0" w:end="0"/>
        <w:jc w:val="start"/>
        <w:rPr/>
      </w:pPr>
      <w:r>
        <w:rPr/>
        <w:t>odprowadzenie wód opadowych- rozsączanie powierzchniowo i/lub gromadzone w ramach terenu działek.</w:t>
      </w:r>
    </w:p>
    <w:p>
      <w:pPr>
        <w:pStyle w:val="Heading2"/>
        <w:pBdr/>
        <w:bidi w:val="0"/>
        <w:ind w:hanging="0" w:start="0" w:end="0"/>
        <w:jc w:val="start"/>
        <w:rPr/>
      </w:pPr>
      <w:r>
        <w:rPr/>
        <w:br/>
      </w:r>
      <w:r>
        <w:rPr>
          <w:rStyle w:val="Strong"/>
          <w:b/>
          <w:bCs/>
        </w:rPr>
        <w:t>Ustalenia dotyczące zasad ochrony i kształtowania ładu przestrzennego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maksymalne wysokości zabudowy:</w:t>
      </w:r>
    </w:p>
    <w:p>
      <w:pPr>
        <w:pStyle w:val="BodyText"/>
        <w:numPr>
          <w:ilvl w:val="1"/>
          <w:numId w:val="3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dla budynków jednokondygnacyjnych – do 6,0 m,</w:t>
      </w:r>
    </w:p>
    <w:p>
      <w:pPr>
        <w:pStyle w:val="BodyText"/>
        <w:numPr>
          <w:ilvl w:val="1"/>
          <w:numId w:val="3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dla budynków dwukondygnacyjnych – do 12,0 m,</w:t>
      </w:r>
    </w:p>
    <w:p>
      <w:pPr>
        <w:pStyle w:val="BodyText"/>
        <w:numPr>
          <w:ilvl w:val="1"/>
          <w:numId w:val="3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dla budynków 3 -kondygnacyjnych – do 15,0 m;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ustala się wysokość nowych budynków garażowych i gospodarczych -1 kondygnacja (i ewentualnie poddasze nieużytkowe), przy czym wysokość kalenicy lub innego najwyżej położonego przykrycia dachu nie może przekroczyć 5 m od poziomu terenu;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na wszystkich terenach zabudowy mieszkaniowej, mieszkalno-usługowej ustala się pokrycie dachów pochyłych o nachyleniu powyżej 30o dachówką ceramiczną, betonową lub innym materiałem dachówkopodobnym w kolorach: odcieni czerwieni, odcieni brązu, antracytu, czerni;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w obszarze planu obowiązuje zakaz lokalizacji blaszanych: garaży i obiektów gospodarczych;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zakazuje się realizacji przęseł ogrodzeń i parkanów, z prefabrykowanych elementów betonowych;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zakazuje się lokalizacji tablic i wolnostojących urządzeń reklamowych w pasach drogowych dróg publicznych;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start="0" w:end="0"/>
        <w:jc w:val="start"/>
        <w:rPr/>
      </w:pPr>
      <w:r>
        <w:rPr/>
        <w:t>dopuszcza się instalowanie tablic reklamowych, tablic informacyjnych i montaż wolnostojących urządzeń reklamowych o powierzchni nie większej niż 5 m2;</w:t>
      </w:r>
    </w:p>
    <w:p>
      <w:pPr>
        <w:pStyle w:val="BodyText"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ind w:hanging="283" w:start="0" w:end="0"/>
        <w:jc w:val="start"/>
        <w:rPr/>
      </w:pPr>
      <w:r>
        <w:rPr/>
        <w:t>ustala się zakaz stosowania jaskrawej kolorystyki elewacji i kontrastowych zestawień kolorystycznych w ramach jednego budynku.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Heading2">
    <w:name w:val="Heading 2"/>
    <w:basedOn w:val="Nagwek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LibreOffice/24.2.1.2$Windows_X86_64 LibreOffice_project/db4def46b0453cc22e2d0305797cf981b68ef5ac</Application>
  <AppVersion>15.0000</AppVersion>
  <Pages>2</Pages>
  <Words>337</Words>
  <Characters>2263</Characters>
  <CharactersWithSpaces>2563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2024-11-25T09:02:49Z</dcterms:created>
  <dc:creator/>
  <dc:description/>
  <dc:language>pl-PL</dc:language>
  <cp:lastModifiedBy/>
  <dcterms:modified xsi:type="dcterms:W3CDTF">2024-11-25T09:04:05Z</dcterms:modified>
  <cp:revision>1</cp:revision>
  <dc:subject/>
  <dc:title/>
</cp:coreProperties>
</file>